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ascii="黑体" w:hAnsi="黑体" w:eastAsia="黑体" w:cs="黑体"/>
        </w:rPr>
      </w:pPr>
      <w:r>
        <w:rPr>
          <w:rFonts w:hint="eastAsia" w:ascii="黑体" w:hAnsi="黑体" w:eastAsia="黑体" w:cs="黑体"/>
        </w:rPr>
        <w:t>深圳市儿童医院设备采购需求参数表</w:t>
      </w:r>
    </w:p>
    <w:tbl>
      <w:tblPr>
        <w:tblStyle w:val="11"/>
        <w:tblW w:w="96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0"/>
        <w:gridCol w:w="1285"/>
        <w:gridCol w:w="7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60" w:type="dxa"/>
            <w:shd w:val="clear" w:color="000000" w:fill="FFFFFF"/>
            <w:vAlign w:val="center"/>
          </w:tcPr>
          <w:p>
            <w:pPr>
              <w:widowControl/>
              <w:jc w:val="center"/>
              <w:rPr>
                <w:rFonts w:ascii="宋体" w:hAnsi="宋体" w:cs="宋体"/>
                <w:b/>
                <w:bCs/>
                <w:color w:val="000000" w:themeColor="text1"/>
                <w:kern w:val="0"/>
                <w:sz w:val="22"/>
                <w14:textFill>
                  <w14:solidFill>
                    <w14:schemeClr w14:val="tx1"/>
                  </w14:solidFill>
                </w14:textFill>
              </w:rPr>
            </w:pPr>
            <w:r>
              <w:rPr>
                <w:rFonts w:hint="eastAsia" w:ascii="宋体" w:hAnsi="宋体" w:cs="宋体"/>
                <w:b/>
                <w:bCs/>
                <w:color w:val="000000" w:themeColor="text1"/>
                <w:kern w:val="0"/>
                <w:sz w:val="22"/>
                <w14:textFill>
                  <w14:solidFill>
                    <w14:schemeClr w14:val="tx1"/>
                  </w14:solidFill>
                </w14:textFill>
              </w:rPr>
              <w:t>序号</w:t>
            </w:r>
          </w:p>
        </w:tc>
        <w:tc>
          <w:tcPr>
            <w:tcW w:w="1285" w:type="dxa"/>
            <w:shd w:val="clear" w:color="000000" w:fill="FFFFFF"/>
            <w:vAlign w:val="center"/>
          </w:tcPr>
          <w:p>
            <w:pPr>
              <w:widowControl/>
              <w:jc w:val="center"/>
              <w:rPr>
                <w:rFonts w:ascii="宋体" w:hAnsi="宋体" w:cs="宋体"/>
                <w:b/>
                <w:bCs/>
                <w:color w:val="000000" w:themeColor="text1"/>
                <w:kern w:val="0"/>
                <w:sz w:val="22"/>
                <w14:textFill>
                  <w14:solidFill>
                    <w14:schemeClr w14:val="tx1"/>
                  </w14:solidFill>
                </w14:textFill>
              </w:rPr>
            </w:pPr>
            <w:r>
              <w:rPr>
                <w:rFonts w:hint="eastAsia" w:ascii="宋体" w:hAnsi="宋体" w:cs="宋体"/>
                <w:b/>
                <w:bCs/>
                <w:color w:val="000000" w:themeColor="text1"/>
                <w:kern w:val="0"/>
                <w:sz w:val="22"/>
                <w14:textFill>
                  <w14:solidFill>
                    <w14:schemeClr w14:val="tx1"/>
                  </w14:solidFill>
                </w14:textFill>
              </w:rPr>
              <w:t>项目名称</w:t>
            </w:r>
          </w:p>
        </w:tc>
        <w:tc>
          <w:tcPr>
            <w:tcW w:w="7709" w:type="dxa"/>
            <w:shd w:val="clear" w:color="000000" w:fill="FFFFFF"/>
            <w:vAlign w:val="center"/>
          </w:tcPr>
          <w:p>
            <w:pPr>
              <w:widowControl/>
              <w:jc w:val="center"/>
              <w:rPr>
                <w:rFonts w:ascii="宋体" w:hAnsi="宋体" w:cs="宋体"/>
                <w:b/>
                <w:bCs/>
                <w:color w:val="000000" w:themeColor="text1"/>
                <w:kern w:val="0"/>
                <w:sz w:val="22"/>
                <w14:textFill>
                  <w14:solidFill>
                    <w14:schemeClr w14:val="tx1"/>
                  </w14:solidFill>
                </w14:textFill>
              </w:rPr>
            </w:pPr>
            <w:r>
              <w:rPr>
                <w:rFonts w:hint="eastAsia" w:ascii="宋体" w:hAnsi="宋体" w:cs="宋体"/>
                <w:b/>
                <w:bCs/>
                <w:color w:val="000000" w:themeColor="text1"/>
                <w:kern w:val="0"/>
                <w:sz w:val="22"/>
                <w14:textFill>
                  <w14:solidFill>
                    <w14:schemeClr w14:val="tx1"/>
                  </w14:solidFill>
                </w14:textFill>
              </w:rPr>
              <w:t>招标事项及要求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0" w:type="dxa"/>
            <w:vMerge w:val="restart"/>
            <w:shd w:val="clear" w:color="000000" w:fill="FFFFFF"/>
            <w:vAlign w:val="center"/>
          </w:tcPr>
          <w:p>
            <w:pPr>
              <w:widowControl/>
              <w:jc w:val="center"/>
              <w:rPr>
                <w:rFonts w:hint="default" w:ascii="Times New Roman" w:hAnsi="Times New Roman" w:cs="Times New Roman"/>
                <w:b/>
                <w:bCs/>
                <w:color w:val="000000" w:themeColor="text1"/>
                <w:kern w:val="0"/>
                <w:sz w:val="22"/>
                <w:szCs w:val="22"/>
                <w14:textFill>
                  <w14:solidFill>
                    <w14:schemeClr w14:val="tx1"/>
                  </w14:solidFill>
                </w14:textFill>
              </w:rPr>
            </w:pPr>
            <w:r>
              <w:rPr>
                <w:rFonts w:hint="default" w:ascii="Times New Roman" w:hAnsi="Times New Roman" w:cs="Times New Roman"/>
                <w:b/>
                <w:bCs/>
                <w:color w:val="000000" w:themeColor="text1"/>
                <w:kern w:val="0"/>
                <w:sz w:val="22"/>
                <w:szCs w:val="22"/>
                <w14:textFill>
                  <w14:solidFill>
                    <w14:schemeClr w14:val="tx1"/>
                  </w14:solidFill>
                </w14:textFill>
              </w:rPr>
              <w:t>1</w:t>
            </w:r>
          </w:p>
        </w:tc>
        <w:tc>
          <w:tcPr>
            <w:tcW w:w="1285" w:type="dxa"/>
            <w:vMerge w:val="restart"/>
            <w:shd w:val="clear" w:color="000000" w:fill="FFFFFF"/>
            <w:vAlign w:val="center"/>
          </w:tcPr>
          <w:p>
            <w:pPr>
              <w:bidi w:val="0"/>
              <w:jc w:val="center"/>
              <w:rPr>
                <w:rFonts w:hint="default" w:ascii="Times New Roman" w:hAnsi="Times New Roman" w:eastAsia="宋体" w:cs="Times New Roman"/>
                <w:b/>
                <w:bCs/>
                <w:color w:val="000000" w:themeColor="text1"/>
                <w:kern w:val="2"/>
                <w:sz w:val="22"/>
                <w:szCs w:val="22"/>
                <w:lang w:val="en-US" w:eastAsia="zh-CN" w:bidi="ar-SA"/>
                <w14:textFill>
                  <w14:solidFill>
                    <w14:schemeClr w14:val="tx1"/>
                  </w14:solidFill>
                </w14:textFill>
              </w:rPr>
            </w:pPr>
            <w:r>
              <w:rPr>
                <w:rFonts w:hint="default" w:ascii="Times New Roman" w:hAnsi="Times New Roman" w:cs="Times New Roman"/>
                <w:b/>
                <w:bCs/>
                <w:color w:val="000000" w:themeColor="text1"/>
                <w:kern w:val="0"/>
                <w:sz w:val="22"/>
                <w:szCs w:val="22"/>
                <w:lang w:val="en-US" w:eastAsia="zh-CN"/>
                <w14:textFill>
                  <w14:solidFill>
                    <w14:schemeClr w14:val="tx1"/>
                  </w14:solidFill>
                </w14:textFill>
              </w:rPr>
              <w:t>双门智能无菌内镜干燥储存柜</w:t>
            </w:r>
          </w:p>
        </w:tc>
        <w:tc>
          <w:tcPr>
            <w:tcW w:w="7709" w:type="dxa"/>
            <w:shd w:val="clear" w:color="000000" w:fill="FFFFFF"/>
            <w:vAlign w:val="center"/>
          </w:tcPr>
          <w:p>
            <w:pPr>
              <w:keepNext w:val="0"/>
              <w:keepLines w:val="0"/>
              <w:widowControl/>
              <w:suppressLineNumbers w:val="0"/>
              <w:jc w:val="both"/>
              <w:textAlignment w:val="center"/>
              <w:outlineLvl w:val="9"/>
              <w:rPr>
                <w:rFonts w:hint="default" w:ascii="Times New Roman" w:hAnsi="Times New Roman" w:cs="Times New Roman"/>
                <w:color w:val="000000" w:themeColor="text1"/>
                <w:kern w:val="0"/>
                <w:sz w:val="22"/>
                <w:szCs w:val="22"/>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highlight w:val="none"/>
                <w:u w:val="none"/>
                <w:lang w:val="en-US" w:eastAsia="zh-CN" w:bidi="ar"/>
                <w14:textFill>
                  <w14:solidFill>
                    <w14:schemeClr w14:val="tx1"/>
                  </w14:solidFill>
                </w14:textFill>
              </w:rPr>
              <w:t>1.适用范围：适用于医院内镜中心的各类型软式内窥镜的储存。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0" w:type="dxa"/>
            <w:vMerge w:val="continue"/>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285" w:type="dxa"/>
            <w:vMerge w:val="continue"/>
            <w:vAlign w:val="center"/>
          </w:tcPr>
          <w:p>
            <w:pPr>
              <w:widowControl/>
              <w:jc w:val="left"/>
              <w:rPr>
                <w:rFonts w:hint="eastAsia" w:ascii="宋体" w:hAnsi="宋体" w:cs="宋体"/>
                <w:color w:val="000000" w:themeColor="text1"/>
                <w:kern w:val="0"/>
                <w:sz w:val="20"/>
                <w:szCs w:val="20"/>
                <w:lang w:val="en-US" w:eastAsia="zh-CN"/>
                <w14:textFill>
                  <w14:solidFill>
                    <w14:schemeClr w14:val="tx1"/>
                  </w14:solidFill>
                </w14:textFill>
              </w:rPr>
            </w:pPr>
          </w:p>
        </w:tc>
        <w:tc>
          <w:tcPr>
            <w:tcW w:w="7709" w:type="dxa"/>
            <w:shd w:val="clear" w:color="000000" w:fill="FFFFFF"/>
            <w:vAlign w:val="center"/>
          </w:tcPr>
          <w:p>
            <w:pPr>
              <w:keepNext w:val="0"/>
              <w:keepLines w:val="0"/>
              <w:widowControl/>
              <w:suppressLineNumbers w:val="0"/>
              <w:jc w:val="both"/>
              <w:textAlignment w:val="center"/>
              <w:outlineLvl w:val="9"/>
              <w:rPr>
                <w:rFonts w:hint="default" w:ascii="Times New Roman" w:hAnsi="Times New Roman" w:cs="Times New Roman"/>
                <w:color w:val="000000" w:themeColor="text1"/>
                <w:kern w:val="0"/>
                <w:sz w:val="22"/>
                <w:szCs w:val="22"/>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highlight w:val="none"/>
                <w:u w:val="none"/>
                <w:lang w:val="en-US" w:eastAsia="zh-CN" w:bidi="ar"/>
                <w14:textFill>
                  <w14:solidFill>
                    <w14:schemeClr w14:val="tx1"/>
                  </w14:solidFill>
                </w14:textFill>
              </w:rPr>
              <w:t>2.设备尺寸≤1360(L)*695(W)*1975(H)mm,设备电源AC220V 50Hz，3.0kVA。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0" w:type="dxa"/>
            <w:vMerge w:val="continue"/>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285" w:type="dxa"/>
            <w:vMerge w:val="continue"/>
            <w:vAlign w:val="center"/>
          </w:tcPr>
          <w:p>
            <w:pPr>
              <w:widowControl/>
              <w:jc w:val="left"/>
              <w:rPr>
                <w:rFonts w:hint="eastAsia" w:ascii="宋体" w:hAnsi="宋体" w:cs="宋体"/>
                <w:color w:val="000000" w:themeColor="text1"/>
                <w:kern w:val="0"/>
                <w:sz w:val="20"/>
                <w:szCs w:val="20"/>
                <w:lang w:val="en-US" w:eastAsia="zh-CN"/>
                <w14:textFill>
                  <w14:solidFill>
                    <w14:schemeClr w14:val="tx1"/>
                  </w14:solidFill>
                </w14:textFill>
              </w:rPr>
            </w:pPr>
          </w:p>
        </w:tc>
        <w:tc>
          <w:tcPr>
            <w:tcW w:w="7709" w:type="dxa"/>
            <w:shd w:val="clear" w:color="000000" w:fill="FFFFFF"/>
            <w:vAlign w:val="center"/>
          </w:tcPr>
          <w:p>
            <w:pPr>
              <w:keepNext w:val="0"/>
              <w:keepLines w:val="0"/>
              <w:widowControl/>
              <w:suppressLineNumbers w:val="0"/>
              <w:jc w:val="both"/>
              <w:textAlignment w:val="center"/>
              <w:outlineLvl w:val="9"/>
              <w:rPr>
                <w:rFonts w:hint="default" w:ascii="Times New Roman" w:hAnsi="Times New Roman" w:cs="Times New Roman"/>
                <w:color w:val="000000" w:themeColor="text1"/>
                <w:kern w:val="0"/>
                <w:sz w:val="22"/>
                <w:szCs w:val="22"/>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highlight w:val="none"/>
                <w:u w:val="none"/>
                <w:lang w:val="en-US" w:eastAsia="zh-CN" w:bidi="ar"/>
                <w14:textFill>
                  <w14:solidFill>
                    <w14:schemeClr w14:val="tx1"/>
                  </w14:solidFill>
                </w14:textFill>
              </w:rPr>
              <w:t>3.储存温湿度内镜储存工作温度45∽50℃，相对湿度20%～65%。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0" w:type="dxa"/>
            <w:vMerge w:val="continue"/>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285" w:type="dxa"/>
            <w:vMerge w:val="continue"/>
            <w:vAlign w:val="center"/>
          </w:tcPr>
          <w:p>
            <w:pPr>
              <w:widowControl/>
              <w:jc w:val="left"/>
              <w:rPr>
                <w:rFonts w:hint="eastAsia" w:ascii="宋体" w:hAnsi="宋体" w:cs="宋体"/>
                <w:color w:val="000000" w:themeColor="text1"/>
                <w:kern w:val="0"/>
                <w:sz w:val="20"/>
                <w:szCs w:val="20"/>
                <w:lang w:val="en-US" w:eastAsia="zh-CN"/>
                <w14:textFill>
                  <w14:solidFill>
                    <w14:schemeClr w14:val="tx1"/>
                  </w14:solidFill>
                </w14:textFill>
              </w:rPr>
            </w:pPr>
          </w:p>
        </w:tc>
        <w:tc>
          <w:tcPr>
            <w:tcW w:w="7709" w:type="dxa"/>
            <w:shd w:val="clear" w:color="000000" w:fill="FFFFFF"/>
            <w:vAlign w:val="center"/>
          </w:tcPr>
          <w:p>
            <w:pPr>
              <w:keepNext w:val="0"/>
              <w:keepLines w:val="0"/>
              <w:widowControl/>
              <w:suppressLineNumbers w:val="0"/>
              <w:jc w:val="both"/>
              <w:textAlignment w:val="center"/>
              <w:outlineLvl w:val="9"/>
              <w:rPr>
                <w:rFonts w:hint="default" w:ascii="Times New Roman" w:hAnsi="Times New Roman" w:cs="Times New Roman"/>
                <w:color w:val="000000" w:themeColor="text1"/>
                <w:kern w:val="0"/>
                <w:sz w:val="22"/>
                <w:szCs w:val="22"/>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highlight w:val="none"/>
                <w:u w:val="none"/>
                <w:lang w:val="en-US" w:eastAsia="zh-CN" w:bidi="ar"/>
                <w14:textFill>
                  <w14:solidFill>
                    <w14:schemeClr w14:val="tx1"/>
                  </w14:solidFill>
                </w14:textFill>
              </w:rPr>
              <w:t>4.满足WS507-2016《软式内镜清洗消毒技术规范》内的关于内镜储存的要求，双侧摆放设计，单侧摆放8条，最大可同时储存16条各类型软式内窥镜和附件。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0" w:type="dxa"/>
            <w:vMerge w:val="continue"/>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285" w:type="dxa"/>
            <w:vMerge w:val="continue"/>
            <w:vAlign w:val="center"/>
          </w:tcPr>
          <w:p>
            <w:pPr>
              <w:widowControl/>
              <w:jc w:val="left"/>
              <w:rPr>
                <w:rFonts w:hint="eastAsia" w:ascii="宋体" w:hAnsi="宋体" w:cs="宋体"/>
                <w:color w:val="000000" w:themeColor="text1"/>
                <w:kern w:val="0"/>
                <w:sz w:val="20"/>
                <w:szCs w:val="20"/>
                <w:lang w:val="en-US" w:eastAsia="zh-CN"/>
                <w14:textFill>
                  <w14:solidFill>
                    <w14:schemeClr w14:val="tx1"/>
                  </w14:solidFill>
                </w14:textFill>
              </w:rPr>
            </w:pPr>
          </w:p>
        </w:tc>
        <w:tc>
          <w:tcPr>
            <w:tcW w:w="7709" w:type="dxa"/>
            <w:shd w:val="clear" w:color="000000" w:fill="FFFFFF"/>
            <w:vAlign w:val="center"/>
          </w:tcPr>
          <w:p>
            <w:pPr>
              <w:keepNext w:val="0"/>
              <w:keepLines w:val="0"/>
              <w:widowControl/>
              <w:suppressLineNumbers w:val="0"/>
              <w:jc w:val="both"/>
              <w:textAlignment w:val="center"/>
              <w:outlineLvl w:val="9"/>
              <w:rPr>
                <w:rFonts w:hint="default" w:ascii="Times New Roman" w:hAnsi="Times New Roman" w:cs="Times New Roman"/>
                <w:color w:val="000000" w:themeColor="text1"/>
                <w:kern w:val="0"/>
                <w:sz w:val="22"/>
                <w:szCs w:val="22"/>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highlight w:val="none"/>
                <w:u w:val="none"/>
                <w:lang w:val="en-US" w:eastAsia="zh-CN" w:bidi="ar"/>
                <w14:textFill>
                  <w14:solidFill>
                    <w14:schemeClr w14:val="tx1"/>
                  </w14:solidFill>
                </w14:textFill>
              </w:rPr>
              <w:t>5.▲设备储存室实时保持正压状态，防止外面空气进入储存室内，确保洁净状态。通过规范的高水平消毒的内镜，可保持内镜的内外洁净度。储存柜正常工作时，柜内空气洁净度符合7级的要求， 柜内空气中粒径≥0.5μm的悬浮粒子（尘埃粒子）数均＜200000pc/m3，≥5μm的悬浮粒子（尘埃粒子）不得检出。提供第三方的证明文件。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0" w:type="dxa"/>
            <w:vMerge w:val="continue"/>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285" w:type="dxa"/>
            <w:vMerge w:val="continue"/>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7709" w:type="dxa"/>
            <w:shd w:val="clear" w:color="000000" w:fill="FFFFFF"/>
            <w:vAlign w:val="center"/>
          </w:tcPr>
          <w:p>
            <w:pPr>
              <w:keepNext w:val="0"/>
              <w:keepLines w:val="0"/>
              <w:widowControl/>
              <w:suppressLineNumbers w:val="0"/>
              <w:jc w:val="both"/>
              <w:textAlignment w:val="center"/>
              <w:outlineLvl w:val="9"/>
              <w:rPr>
                <w:rFonts w:hint="default" w:ascii="Times New Roman" w:hAnsi="Times New Roman" w:cs="Times New Roman"/>
                <w:color w:val="000000" w:themeColor="text1"/>
                <w:kern w:val="0"/>
                <w:sz w:val="22"/>
                <w:szCs w:val="22"/>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highlight w:val="none"/>
                <w:u w:val="none"/>
                <w:lang w:val="en-US" w:eastAsia="zh-CN" w:bidi="ar"/>
                <w14:textFill>
                  <w14:solidFill>
                    <w14:schemeClr w14:val="tx1"/>
                  </w14:solidFill>
                </w14:textFill>
              </w:rPr>
              <w:t>6.▲为了减少内镜储存过程中的污染，储存柜正常工作时，柜内空气中的沉降菌≤1cfu/皿。提供省级以上疾控中心的检测报告。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0" w:type="dxa"/>
            <w:vMerge w:val="continue"/>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285" w:type="dxa"/>
            <w:vMerge w:val="continue"/>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7709" w:type="dxa"/>
            <w:shd w:val="clear" w:color="000000" w:fill="FFFFFF"/>
            <w:vAlign w:val="center"/>
          </w:tcPr>
          <w:p>
            <w:pPr>
              <w:keepNext w:val="0"/>
              <w:keepLines w:val="0"/>
              <w:widowControl/>
              <w:suppressLineNumbers w:val="0"/>
              <w:jc w:val="both"/>
              <w:textAlignment w:val="center"/>
              <w:outlineLvl w:val="9"/>
              <w:rPr>
                <w:rFonts w:hint="default" w:ascii="Times New Roman" w:hAnsi="Times New Roman" w:cs="Times New Roman"/>
                <w:color w:val="000000" w:themeColor="text1"/>
                <w:kern w:val="0"/>
                <w:sz w:val="22"/>
                <w:szCs w:val="22"/>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highlight w:val="none"/>
                <w:u w:val="none"/>
                <w:lang w:val="en-US" w:eastAsia="zh-CN" w:bidi="ar"/>
                <w14:textFill>
                  <w14:solidFill>
                    <w14:schemeClr w14:val="tx1"/>
                  </w14:solidFill>
                </w14:textFill>
              </w:rPr>
              <w:t>7.▲变频系统保持柜内与柜外的压差在5～20Pa，变频系统根据压差来控制运转速度，让柜内与柜外的压差始终保持在在5～20Pa，并通过操作界面实时显示压差数值。提供第三方的证明文件。进入柜内的空气采用H13和H14两级过滤，对≥0.3μm的颗粒灰尘及各种悬浮物进行高效过滤，过滤效率≥99.995%，有效阻止空气中的微生物进入柜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0" w:type="dxa"/>
            <w:vMerge w:val="continue"/>
            <w:shd w:val="clear" w:color="000000" w:fill="FFFFFF"/>
            <w:vAlign w:val="center"/>
          </w:tcPr>
          <w:p>
            <w:pPr>
              <w:widowControl/>
              <w:jc w:val="left"/>
              <w:rPr>
                <w:rFonts w:ascii="宋体" w:hAnsi="宋体" w:cs="宋体"/>
                <w:b/>
                <w:bCs/>
                <w:color w:val="000000" w:themeColor="text1"/>
                <w:kern w:val="0"/>
                <w:sz w:val="22"/>
                <w14:textFill>
                  <w14:solidFill>
                    <w14:schemeClr w14:val="tx1"/>
                  </w14:solidFill>
                </w14:textFill>
              </w:rPr>
            </w:pPr>
          </w:p>
        </w:tc>
        <w:tc>
          <w:tcPr>
            <w:tcW w:w="1285" w:type="dxa"/>
            <w:vMerge w:val="continue"/>
            <w:shd w:val="clear" w:color="000000" w:fill="FFFFFF"/>
            <w:vAlign w:val="center"/>
          </w:tcPr>
          <w:p>
            <w:pPr>
              <w:widowControl/>
              <w:rPr>
                <w:rFonts w:ascii="宋体" w:hAnsi="宋体" w:cs="宋体"/>
                <w:b/>
                <w:bCs/>
                <w:color w:val="000000" w:themeColor="text1"/>
                <w:kern w:val="0"/>
                <w:sz w:val="22"/>
                <w14:textFill>
                  <w14:solidFill>
                    <w14:schemeClr w14:val="tx1"/>
                  </w14:solidFill>
                </w14:textFill>
              </w:rPr>
            </w:pPr>
          </w:p>
        </w:tc>
        <w:tc>
          <w:tcPr>
            <w:tcW w:w="7709" w:type="dxa"/>
            <w:shd w:val="clear" w:color="000000" w:fill="FFFFFF"/>
            <w:vAlign w:val="center"/>
          </w:tcPr>
          <w:p>
            <w:pPr>
              <w:keepNext w:val="0"/>
              <w:keepLines w:val="0"/>
              <w:widowControl/>
              <w:suppressLineNumbers w:val="0"/>
              <w:jc w:val="both"/>
              <w:textAlignment w:val="center"/>
              <w:outlineLvl w:val="9"/>
              <w:rPr>
                <w:rFonts w:hint="default" w:ascii="Times New Roman" w:hAnsi="Times New Roman" w:cs="Times New Roman"/>
                <w:color w:val="000000" w:themeColor="text1"/>
                <w:kern w:val="0"/>
                <w:sz w:val="22"/>
                <w:szCs w:val="22"/>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highlight w:val="none"/>
                <w:u w:val="none"/>
                <w:lang w:val="en-US" w:eastAsia="zh-CN" w:bidi="ar"/>
                <w14:textFill>
                  <w14:solidFill>
                    <w14:schemeClr w14:val="tx1"/>
                  </w14:solidFill>
                </w14:textFill>
              </w:rPr>
              <w:t>8.具有自动和定时两种消毒模式，分别采用紫外线和等离子体两种消毒方式对过滤后的空气进行消毒，可选紫外线或等离子体进行消毒，或两种模式组合消毒。保证进入柜内空气的洁净，有效隔断储存内镜的二次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0" w:type="dxa"/>
            <w:vMerge w:val="continue"/>
            <w:shd w:val="clear" w:color="000000" w:fill="FFFFFF"/>
            <w:vAlign w:val="center"/>
          </w:tcPr>
          <w:p>
            <w:pPr>
              <w:widowControl/>
              <w:jc w:val="left"/>
              <w:rPr>
                <w:rFonts w:ascii="宋体" w:hAnsi="宋体" w:cs="宋体"/>
                <w:b/>
                <w:bCs/>
                <w:color w:val="000000" w:themeColor="text1"/>
                <w:kern w:val="0"/>
                <w:sz w:val="22"/>
                <w14:textFill>
                  <w14:solidFill>
                    <w14:schemeClr w14:val="tx1"/>
                  </w14:solidFill>
                </w14:textFill>
              </w:rPr>
            </w:pPr>
          </w:p>
        </w:tc>
        <w:tc>
          <w:tcPr>
            <w:tcW w:w="1285" w:type="dxa"/>
            <w:vMerge w:val="continue"/>
            <w:shd w:val="clear" w:color="000000" w:fill="FFFFFF"/>
            <w:vAlign w:val="center"/>
          </w:tcPr>
          <w:p>
            <w:pPr>
              <w:widowControl/>
              <w:rPr>
                <w:rFonts w:ascii="宋体" w:hAnsi="宋体" w:cs="宋体"/>
                <w:b/>
                <w:bCs/>
                <w:color w:val="000000" w:themeColor="text1"/>
                <w:kern w:val="0"/>
                <w:sz w:val="22"/>
                <w14:textFill>
                  <w14:solidFill>
                    <w14:schemeClr w14:val="tx1"/>
                  </w14:solidFill>
                </w14:textFill>
              </w:rPr>
            </w:pPr>
          </w:p>
        </w:tc>
        <w:tc>
          <w:tcPr>
            <w:tcW w:w="7709" w:type="dxa"/>
            <w:shd w:val="clear" w:color="000000" w:fill="FFFFFF"/>
            <w:vAlign w:val="center"/>
          </w:tcPr>
          <w:p>
            <w:pPr>
              <w:keepNext w:val="0"/>
              <w:keepLines w:val="0"/>
              <w:widowControl/>
              <w:suppressLineNumbers w:val="0"/>
              <w:jc w:val="both"/>
              <w:textAlignment w:val="center"/>
              <w:outlineLvl w:val="9"/>
              <w:rPr>
                <w:rFonts w:hint="default" w:ascii="Times New Roman" w:hAnsi="Times New Roman" w:cs="Times New Roman"/>
                <w:color w:val="000000" w:themeColor="text1"/>
                <w:kern w:val="0"/>
                <w:sz w:val="22"/>
                <w:szCs w:val="22"/>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highlight w:val="none"/>
                <w:u w:val="none"/>
                <w:lang w:val="en-US" w:eastAsia="zh-CN" w:bidi="ar"/>
                <w14:textFill>
                  <w14:solidFill>
                    <w14:schemeClr w14:val="tx1"/>
                  </w14:solidFill>
                </w14:textFill>
              </w:rPr>
              <w:t>9.▲储存柜采用紫外线或等离子体自消毒的，应符合卫生部《消毒技术规范》中臭氧浓度＜0.1mg/ m3的要求。提供第三方的检测报告。对清洗消毒合格后的内镜进行储存，储存720小时后，内镜腔体的菌落总数均＜20cfu/件；提供省级以上的疾控中心的检测报告。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0" w:type="dxa"/>
            <w:vMerge w:val="continue"/>
            <w:shd w:val="clear" w:color="000000" w:fill="FFFFFF"/>
            <w:vAlign w:val="center"/>
          </w:tcPr>
          <w:p>
            <w:pPr>
              <w:widowControl/>
              <w:jc w:val="left"/>
              <w:rPr>
                <w:rFonts w:ascii="宋体" w:hAnsi="宋体" w:cs="宋体"/>
                <w:b/>
                <w:bCs/>
                <w:color w:val="000000" w:themeColor="text1"/>
                <w:kern w:val="0"/>
                <w:sz w:val="22"/>
                <w14:textFill>
                  <w14:solidFill>
                    <w14:schemeClr w14:val="tx1"/>
                  </w14:solidFill>
                </w14:textFill>
              </w:rPr>
            </w:pPr>
          </w:p>
        </w:tc>
        <w:tc>
          <w:tcPr>
            <w:tcW w:w="1285" w:type="dxa"/>
            <w:vMerge w:val="continue"/>
            <w:shd w:val="clear" w:color="000000" w:fill="FFFFFF"/>
            <w:vAlign w:val="center"/>
          </w:tcPr>
          <w:p>
            <w:pPr>
              <w:widowControl/>
              <w:rPr>
                <w:rFonts w:ascii="宋体" w:hAnsi="宋体" w:cs="宋体"/>
                <w:b/>
                <w:bCs/>
                <w:color w:val="000000" w:themeColor="text1"/>
                <w:kern w:val="0"/>
                <w:sz w:val="22"/>
                <w14:textFill>
                  <w14:solidFill>
                    <w14:schemeClr w14:val="tx1"/>
                  </w14:solidFill>
                </w14:textFill>
              </w:rPr>
            </w:pPr>
          </w:p>
        </w:tc>
        <w:tc>
          <w:tcPr>
            <w:tcW w:w="7709" w:type="dxa"/>
            <w:shd w:val="clear" w:color="000000" w:fill="FFFFFF"/>
            <w:vAlign w:val="center"/>
          </w:tcPr>
          <w:p>
            <w:pPr>
              <w:keepNext w:val="0"/>
              <w:keepLines w:val="0"/>
              <w:widowControl/>
              <w:suppressLineNumbers w:val="0"/>
              <w:jc w:val="both"/>
              <w:textAlignment w:val="center"/>
              <w:outlineLvl w:val="9"/>
              <w:rPr>
                <w:rFonts w:hint="default" w:ascii="Times New Roman" w:hAnsi="Times New Roman" w:cs="Times New Roman"/>
                <w:color w:val="000000" w:themeColor="text1"/>
                <w:kern w:val="0"/>
                <w:sz w:val="22"/>
                <w:szCs w:val="22"/>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highlight w:val="none"/>
                <w:u w:val="none"/>
                <w:lang w:val="en-US" w:eastAsia="zh-CN" w:bidi="ar"/>
                <w14:textFill>
                  <w14:solidFill>
                    <w14:schemeClr w14:val="tx1"/>
                  </w14:solidFill>
                </w14:textFill>
              </w:rPr>
              <w:t>10.彩色约7寸触摸屏和PLC控制系统，能实时监控柜内温度、湿度、存放时间以及各种运行信息，并可通过USB接口导出数据。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0" w:type="dxa"/>
            <w:vMerge w:val="continue"/>
            <w:shd w:val="clear" w:color="000000" w:fill="FFFFFF"/>
            <w:vAlign w:val="center"/>
          </w:tcPr>
          <w:p>
            <w:pPr>
              <w:widowControl/>
              <w:jc w:val="left"/>
              <w:rPr>
                <w:rFonts w:ascii="宋体" w:hAnsi="宋体" w:cs="宋体"/>
                <w:b/>
                <w:bCs/>
                <w:color w:val="000000" w:themeColor="text1"/>
                <w:kern w:val="0"/>
                <w:sz w:val="22"/>
                <w14:textFill>
                  <w14:solidFill>
                    <w14:schemeClr w14:val="tx1"/>
                  </w14:solidFill>
                </w14:textFill>
              </w:rPr>
            </w:pPr>
          </w:p>
        </w:tc>
        <w:tc>
          <w:tcPr>
            <w:tcW w:w="1285" w:type="dxa"/>
            <w:vMerge w:val="continue"/>
            <w:shd w:val="clear" w:color="000000" w:fill="FFFFFF"/>
            <w:vAlign w:val="center"/>
          </w:tcPr>
          <w:p>
            <w:pPr>
              <w:widowControl/>
              <w:rPr>
                <w:rFonts w:ascii="宋体" w:hAnsi="宋体" w:cs="宋体"/>
                <w:b/>
                <w:bCs/>
                <w:color w:val="000000" w:themeColor="text1"/>
                <w:kern w:val="0"/>
                <w:sz w:val="22"/>
                <w14:textFill>
                  <w14:solidFill>
                    <w14:schemeClr w14:val="tx1"/>
                  </w14:solidFill>
                </w14:textFill>
              </w:rPr>
            </w:pPr>
          </w:p>
        </w:tc>
        <w:tc>
          <w:tcPr>
            <w:tcW w:w="7709" w:type="dxa"/>
            <w:shd w:val="clear" w:color="000000" w:fill="FFFFFF"/>
            <w:vAlign w:val="center"/>
          </w:tcPr>
          <w:p>
            <w:pPr>
              <w:keepNext w:val="0"/>
              <w:keepLines w:val="0"/>
              <w:widowControl/>
              <w:suppressLineNumbers w:val="0"/>
              <w:jc w:val="both"/>
              <w:textAlignment w:val="center"/>
              <w:outlineLvl w:val="9"/>
              <w:rPr>
                <w:rFonts w:hint="default" w:ascii="Times New Roman" w:hAnsi="Times New Roman" w:cs="Times New Roman"/>
                <w:color w:val="000000" w:themeColor="text1"/>
                <w:kern w:val="0"/>
                <w:sz w:val="22"/>
                <w:szCs w:val="22"/>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highlight w:val="none"/>
                <w:u w:val="none"/>
                <w:lang w:val="en-US" w:eastAsia="zh-CN" w:bidi="ar"/>
                <w14:textFill>
                  <w14:solidFill>
                    <w14:schemeClr w14:val="tx1"/>
                  </w14:solidFill>
                </w14:textFill>
              </w:rPr>
              <w:t>11.通过PID模块对湿度进行控制，保证柜内湿度控制在设定值的±5%；除湿系统在8min左右使柜内的湿度从90%降到65%以下；通过PID模块对温度进行控制，保证柜内温度精度在0.1℃范围内。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0" w:type="dxa"/>
            <w:vMerge w:val="continue"/>
            <w:shd w:val="clear" w:color="000000" w:fill="FFFFFF"/>
            <w:vAlign w:val="center"/>
          </w:tcPr>
          <w:p>
            <w:pPr>
              <w:widowControl/>
              <w:jc w:val="left"/>
              <w:rPr>
                <w:rFonts w:ascii="宋体" w:hAnsi="宋体" w:cs="宋体"/>
                <w:b/>
                <w:bCs/>
                <w:color w:val="000000" w:themeColor="text1"/>
                <w:kern w:val="0"/>
                <w:sz w:val="22"/>
                <w14:textFill>
                  <w14:solidFill>
                    <w14:schemeClr w14:val="tx1"/>
                  </w14:solidFill>
                </w14:textFill>
              </w:rPr>
            </w:pPr>
          </w:p>
        </w:tc>
        <w:tc>
          <w:tcPr>
            <w:tcW w:w="1285" w:type="dxa"/>
            <w:vMerge w:val="continue"/>
            <w:shd w:val="clear" w:color="000000" w:fill="FFFFFF"/>
            <w:vAlign w:val="center"/>
          </w:tcPr>
          <w:p>
            <w:pPr>
              <w:widowControl/>
              <w:rPr>
                <w:rFonts w:ascii="宋体" w:hAnsi="宋体" w:cs="宋体"/>
                <w:b/>
                <w:bCs/>
                <w:color w:val="000000" w:themeColor="text1"/>
                <w:kern w:val="0"/>
                <w:sz w:val="22"/>
                <w14:textFill>
                  <w14:solidFill>
                    <w14:schemeClr w14:val="tx1"/>
                  </w14:solidFill>
                </w14:textFill>
              </w:rPr>
            </w:pPr>
          </w:p>
        </w:tc>
        <w:tc>
          <w:tcPr>
            <w:tcW w:w="7709" w:type="dxa"/>
            <w:shd w:val="clear" w:color="000000" w:fill="FFFFFF"/>
            <w:vAlign w:val="center"/>
          </w:tcPr>
          <w:p>
            <w:pPr>
              <w:keepNext w:val="0"/>
              <w:keepLines w:val="0"/>
              <w:widowControl/>
              <w:suppressLineNumbers w:val="0"/>
              <w:jc w:val="both"/>
              <w:textAlignment w:val="center"/>
              <w:outlineLvl w:val="9"/>
              <w:rPr>
                <w:rFonts w:hint="default" w:ascii="Times New Roman" w:hAnsi="Times New Roman" w:cs="Times New Roman"/>
                <w:color w:val="000000" w:themeColor="text1"/>
                <w:kern w:val="0"/>
                <w:sz w:val="22"/>
                <w:szCs w:val="22"/>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highlight w:val="none"/>
                <w:u w:val="none"/>
                <w:lang w:val="en-US" w:eastAsia="zh-CN" w:bidi="ar"/>
                <w14:textFill>
                  <w14:solidFill>
                    <w14:schemeClr w14:val="tx1"/>
                  </w14:solidFill>
                </w14:textFill>
              </w:rPr>
              <w:t>12.真空吸引对储存内镜管腔内部进行真空吸引，实现储存内镜的管道快速洁净干燥。设备应对真空吸引系统、消毒装置、温湿度控制系统和高效过滤系统进行监测，当检测到异常，设备报警提示，保证内镜储存环境的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0" w:type="dxa"/>
            <w:vMerge w:val="continue"/>
            <w:shd w:val="clear" w:color="000000" w:fill="FFFFFF"/>
            <w:vAlign w:val="center"/>
          </w:tcPr>
          <w:p>
            <w:pPr>
              <w:widowControl/>
              <w:jc w:val="left"/>
              <w:rPr>
                <w:rFonts w:ascii="宋体" w:hAnsi="宋体" w:cs="宋体"/>
                <w:b/>
                <w:bCs/>
                <w:color w:val="000000" w:themeColor="text1"/>
                <w:kern w:val="0"/>
                <w:sz w:val="22"/>
                <w14:textFill>
                  <w14:solidFill>
                    <w14:schemeClr w14:val="tx1"/>
                  </w14:solidFill>
                </w14:textFill>
              </w:rPr>
            </w:pPr>
          </w:p>
        </w:tc>
        <w:tc>
          <w:tcPr>
            <w:tcW w:w="1285" w:type="dxa"/>
            <w:vMerge w:val="continue"/>
            <w:shd w:val="clear" w:color="000000" w:fill="FFFFFF"/>
            <w:vAlign w:val="center"/>
          </w:tcPr>
          <w:p>
            <w:pPr>
              <w:widowControl/>
              <w:rPr>
                <w:rFonts w:ascii="宋体" w:hAnsi="宋体" w:cs="宋体"/>
                <w:b/>
                <w:bCs/>
                <w:color w:val="000000" w:themeColor="text1"/>
                <w:kern w:val="0"/>
                <w:sz w:val="22"/>
                <w14:textFill>
                  <w14:solidFill>
                    <w14:schemeClr w14:val="tx1"/>
                  </w14:solidFill>
                </w14:textFill>
              </w:rPr>
            </w:pPr>
          </w:p>
        </w:tc>
        <w:tc>
          <w:tcPr>
            <w:tcW w:w="7709" w:type="dxa"/>
            <w:shd w:val="clear" w:color="000000" w:fill="FFFFFF"/>
            <w:vAlign w:val="center"/>
          </w:tcPr>
          <w:p>
            <w:pPr>
              <w:keepNext w:val="0"/>
              <w:keepLines w:val="0"/>
              <w:widowControl/>
              <w:suppressLineNumbers w:val="0"/>
              <w:jc w:val="both"/>
              <w:textAlignment w:val="center"/>
              <w:outlineLvl w:val="9"/>
              <w:rPr>
                <w:rFonts w:hint="default" w:ascii="Times New Roman" w:hAnsi="Times New Roman" w:cs="Times New Roman"/>
                <w:color w:val="000000" w:themeColor="text1"/>
                <w:kern w:val="0"/>
                <w:sz w:val="22"/>
                <w:szCs w:val="22"/>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highlight w:val="none"/>
                <w:u w:val="none"/>
                <w:lang w:val="en-US" w:eastAsia="zh-CN" w:bidi="ar"/>
                <w14:textFill>
                  <w14:solidFill>
                    <w14:schemeClr w14:val="tx1"/>
                  </w14:solidFill>
                </w14:textFill>
              </w:rPr>
              <w:t>13.开门方式：设备左右门均为自动开关门结构，方便操作人员操作。并可采用脚踢、刷卡和触摸屏操作进行开关门操作。方式可进行开关门操作，也可通过触摸屏控制开关门，内镜悬挂系统无需更换悬挂支架即可兼容不同品牌内镜和不同类型内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0" w:type="dxa"/>
            <w:vMerge w:val="continue"/>
            <w:shd w:val="clear" w:color="000000" w:fill="FFFFFF"/>
            <w:vAlign w:val="center"/>
          </w:tcPr>
          <w:p>
            <w:pPr>
              <w:widowControl/>
              <w:jc w:val="left"/>
              <w:rPr>
                <w:rFonts w:ascii="宋体" w:hAnsi="宋体" w:cs="宋体"/>
                <w:b/>
                <w:bCs/>
                <w:color w:val="000000" w:themeColor="text1"/>
                <w:kern w:val="0"/>
                <w:sz w:val="22"/>
                <w14:textFill>
                  <w14:solidFill>
                    <w14:schemeClr w14:val="tx1"/>
                  </w14:solidFill>
                </w14:textFill>
              </w:rPr>
            </w:pPr>
          </w:p>
        </w:tc>
        <w:tc>
          <w:tcPr>
            <w:tcW w:w="1285" w:type="dxa"/>
            <w:vMerge w:val="continue"/>
            <w:shd w:val="clear" w:color="000000" w:fill="FFFFFF"/>
            <w:vAlign w:val="center"/>
          </w:tcPr>
          <w:p>
            <w:pPr>
              <w:widowControl/>
              <w:rPr>
                <w:rFonts w:ascii="宋体" w:hAnsi="宋体" w:cs="宋体"/>
                <w:b/>
                <w:bCs/>
                <w:color w:val="000000" w:themeColor="text1"/>
                <w:kern w:val="0"/>
                <w:sz w:val="22"/>
                <w14:textFill>
                  <w14:solidFill>
                    <w14:schemeClr w14:val="tx1"/>
                  </w14:solidFill>
                </w14:textFill>
              </w:rPr>
            </w:pPr>
          </w:p>
        </w:tc>
        <w:tc>
          <w:tcPr>
            <w:tcW w:w="7709" w:type="dxa"/>
            <w:shd w:val="clear" w:color="000000" w:fill="FFFFFF"/>
            <w:vAlign w:val="center"/>
          </w:tcPr>
          <w:p>
            <w:pPr>
              <w:keepNext w:val="0"/>
              <w:keepLines w:val="0"/>
              <w:widowControl/>
              <w:suppressLineNumbers w:val="0"/>
              <w:jc w:val="both"/>
              <w:textAlignment w:val="center"/>
              <w:outlineLvl w:val="9"/>
              <w:rPr>
                <w:rFonts w:hint="default" w:ascii="Times New Roman" w:hAnsi="Times New Roman" w:cs="Times New Roman"/>
                <w:color w:val="000000" w:themeColor="text1"/>
                <w:kern w:val="0"/>
                <w:sz w:val="22"/>
                <w:szCs w:val="22"/>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highlight w:val="none"/>
                <w:u w:val="none"/>
                <w:lang w:val="en-US" w:eastAsia="zh-CN" w:bidi="ar"/>
                <w14:textFill>
                  <w14:solidFill>
                    <w14:schemeClr w14:val="tx1"/>
                  </w14:solidFill>
                </w14:textFill>
              </w:rPr>
              <w:t>14.设备可对内镜储存信息进行打印，当取出使用内镜后，打印系统自动打印该条内镜的储存信息。设备预留追溯接口，可与质量管理追溯系统对接，将设备运行各项数据进行追溯记录。通过设备交互界面，可进行内镜信息录入，并支持全中文录入。</w:t>
            </w:r>
          </w:p>
        </w:tc>
      </w:tr>
    </w:tbl>
    <w:p>
      <w:pPr>
        <w:pStyle w:val="3"/>
        <w:bidi w:val="0"/>
        <w:jc w:val="center"/>
      </w:pPr>
      <w:r>
        <w:rPr>
          <w:rFonts w:hint="eastAsia"/>
        </w:rPr>
        <w:t>设备配套耗材试剂情况</w:t>
      </w:r>
    </w:p>
    <w:p>
      <w:pPr>
        <w:jc w:val="left"/>
        <w:rPr>
          <w:rFonts w:ascii="宋体" w:hAnsi="宋体" w:cs="宋体"/>
          <w:b/>
          <w:bCs/>
          <w:kern w:val="0"/>
          <w:sz w:val="24"/>
          <w:szCs w:val="24"/>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开放</w:t>
      </w:r>
      <w:r>
        <w:rPr>
          <w:rFonts w:hint="eastAsia" w:ascii="宋体" w:hAnsi="宋体" w:cs="宋体"/>
          <w:b/>
          <w:bCs/>
          <w:color w:val="FF0000"/>
          <w:kern w:val="0"/>
          <w:sz w:val="28"/>
          <w:szCs w:val="28"/>
          <w:lang w:eastAsia="zh-CN"/>
        </w:rPr>
        <w:t>□</w:t>
      </w:r>
      <w:r>
        <w:rPr>
          <w:rFonts w:hint="eastAsia" w:ascii="宋体" w:hAnsi="宋体" w:cs="宋体"/>
          <w:b/>
          <w:bCs/>
          <w:color w:val="FF0000"/>
          <w:kern w:val="0"/>
          <w:sz w:val="28"/>
          <w:szCs w:val="28"/>
        </w:rPr>
        <w:t xml:space="preserve">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专用</w:t>
      </w:r>
      <w:r>
        <w:rPr>
          <w:rFonts w:hint="eastAsia" w:ascii="宋体" w:hAnsi="宋体" w:cs="宋体"/>
          <w:b/>
          <w:bCs/>
          <w:color w:val="FF0000"/>
          <w:kern w:val="0"/>
          <w:sz w:val="28"/>
          <w:szCs w:val="28"/>
          <w:lang w:eastAsia="zh-CN"/>
        </w:rPr>
        <w:t>☑</w:t>
      </w:r>
      <w:r>
        <w:rPr>
          <w:rFonts w:hint="eastAsia" w:ascii="宋体" w:hAnsi="宋体" w:cs="宋体"/>
          <w:b/>
          <w:bCs/>
          <w:color w:val="FF0000"/>
          <w:kern w:val="0"/>
          <w:sz w:val="28"/>
          <w:szCs w:val="28"/>
        </w:rPr>
        <w:t xml:space="preserve">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color w:val="FF0000"/>
          <w:kern w:val="0"/>
          <w:sz w:val="28"/>
          <w:szCs w:val="28"/>
          <w:lang w:eastAsia="zh-CN"/>
        </w:rPr>
        <w:t>□</w:t>
      </w:r>
      <w:r>
        <w:rPr>
          <w:rFonts w:hint="eastAsia" w:ascii="宋体" w:hAnsi="宋体" w:cs="宋体"/>
          <w:b/>
          <w:bCs/>
          <w:kern w:val="0"/>
          <w:sz w:val="28"/>
          <w:szCs w:val="28"/>
        </w:rPr>
        <w:t xml:space="preserve">） </w:t>
      </w:r>
    </w:p>
    <w:p>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11"/>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0"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序号</w:t>
            </w:r>
          </w:p>
        </w:tc>
        <w:tc>
          <w:tcPr>
            <w:tcW w:w="5094"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名称</w:t>
            </w:r>
          </w:p>
        </w:tc>
        <w:tc>
          <w:tcPr>
            <w:tcW w:w="1985"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单位</w:t>
            </w:r>
          </w:p>
        </w:tc>
        <w:tc>
          <w:tcPr>
            <w:tcW w:w="2126"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0"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1</w:t>
            </w:r>
          </w:p>
        </w:tc>
        <w:tc>
          <w:tcPr>
            <w:tcW w:w="5094" w:type="dxa"/>
            <w:vAlign w:val="center"/>
          </w:tcPr>
          <w:p>
            <w:pPr>
              <w:jc w:val="center"/>
              <w:rPr>
                <w:rFonts w:hint="default" w:ascii="Times New Roman" w:hAnsi="Times New Roman" w:eastAsia="宋体" w:cs="Times New Roman"/>
                <w:b/>
                <w:kern w:val="2"/>
                <w:sz w:val="22"/>
                <w:szCs w:val="22"/>
                <w:lang w:val="en-US" w:eastAsia="zh-CN" w:bidi="ar-SA"/>
              </w:rPr>
            </w:pPr>
            <w:r>
              <w:rPr>
                <w:rFonts w:hint="default" w:ascii="Times New Roman" w:hAnsi="Times New Roman" w:eastAsia="宋体" w:cs="Times New Roman"/>
                <w:b/>
                <w:sz w:val="22"/>
                <w:szCs w:val="22"/>
                <w:lang w:val="en-US" w:eastAsia="zh-CN"/>
              </w:rPr>
              <w:t>H13高效过滤器</w:t>
            </w:r>
          </w:p>
        </w:tc>
        <w:tc>
          <w:tcPr>
            <w:tcW w:w="1985" w:type="dxa"/>
            <w:vAlign w:val="center"/>
          </w:tcPr>
          <w:p>
            <w:pPr>
              <w:jc w:val="center"/>
              <w:rPr>
                <w:rFonts w:hint="default" w:ascii="Times New Roman" w:hAnsi="Times New Roman" w:eastAsia="宋体" w:cs="Times New Roman"/>
                <w:b/>
                <w:kern w:val="2"/>
                <w:sz w:val="22"/>
                <w:szCs w:val="22"/>
                <w:lang w:val="en-US" w:eastAsia="zh-CN" w:bidi="ar-SA"/>
              </w:rPr>
            </w:pPr>
            <w:r>
              <w:rPr>
                <w:rFonts w:hint="default" w:ascii="Times New Roman" w:hAnsi="Times New Roman" w:eastAsia="宋体" w:cs="Times New Roman"/>
                <w:b/>
                <w:sz w:val="22"/>
                <w:szCs w:val="22"/>
                <w:lang w:val="en-US" w:eastAsia="zh-CN"/>
              </w:rPr>
              <w:t>套</w:t>
            </w:r>
          </w:p>
        </w:tc>
        <w:tc>
          <w:tcPr>
            <w:tcW w:w="2126" w:type="dxa"/>
            <w:vAlign w:val="center"/>
          </w:tcPr>
          <w:p>
            <w:pPr>
              <w:jc w:val="center"/>
              <w:rPr>
                <w:rFonts w:hint="default" w:ascii="Times New Roman" w:hAnsi="Times New Roman" w:eastAsia="宋体" w:cs="Times New Roman"/>
                <w:b/>
                <w:kern w:val="2"/>
                <w:sz w:val="22"/>
                <w:szCs w:val="22"/>
                <w:lang w:val="en-US" w:eastAsia="zh-CN" w:bidi="ar-SA"/>
              </w:rPr>
            </w:pPr>
            <w:r>
              <w:rPr>
                <w:rFonts w:hint="default" w:ascii="Times New Roman" w:hAnsi="Times New Roman" w:eastAsia="宋体" w:cs="Times New Roman"/>
                <w:b/>
                <w:sz w:val="22"/>
                <w:szCs w:val="22"/>
                <w:lang w:val="en-US" w:eastAsia="zh-CN"/>
              </w:rPr>
              <w:t>480.00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0"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2</w:t>
            </w:r>
          </w:p>
        </w:tc>
        <w:tc>
          <w:tcPr>
            <w:tcW w:w="5094" w:type="dxa"/>
            <w:vAlign w:val="center"/>
          </w:tcPr>
          <w:p>
            <w:pPr>
              <w:jc w:val="center"/>
              <w:rPr>
                <w:rFonts w:hint="default" w:ascii="Times New Roman" w:hAnsi="Times New Roman" w:eastAsia="宋体" w:cs="Times New Roman"/>
                <w:b/>
                <w:kern w:val="2"/>
                <w:sz w:val="22"/>
                <w:szCs w:val="22"/>
                <w:lang w:val="en-US" w:eastAsia="zh-CN" w:bidi="ar-SA"/>
              </w:rPr>
            </w:pPr>
            <w:r>
              <w:rPr>
                <w:rFonts w:hint="default" w:ascii="Times New Roman" w:hAnsi="Times New Roman" w:eastAsia="宋体" w:cs="Times New Roman"/>
                <w:b/>
                <w:sz w:val="22"/>
                <w:szCs w:val="22"/>
              </w:rPr>
              <w:t>H14高效过滤器 </w:t>
            </w:r>
          </w:p>
        </w:tc>
        <w:tc>
          <w:tcPr>
            <w:tcW w:w="1985" w:type="dxa"/>
            <w:vAlign w:val="center"/>
          </w:tcPr>
          <w:p>
            <w:pPr>
              <w:jc w:val="center"/>
              <w:rPr>
                <w:rFonts w:hint="default" w:ascii="Times New Roman" w:hAnsi="Times New Roman" w:eastAsia="宋体" w:cs="Times New Roman"/>
                <w:b/>
                <w:kern w:val="2"/>
                <w:sz w:val="22"/>
                <w:szCs w:val="22"/>
                <w:lang w:val="en-US" w:eastAsia="zh-CN" w:bidi="ar-SA"/>
              </w:rPr>
            </w:pPr>
            <w:r>
              <w:rPr>
                <w:rFonts w:hint="default" w:ascii="Times New Roman" w:hAnsi="Times New Roman" w:eastAsia="宋体" w:cs="Times New Roman"/>
                <w:b/>
                <w:sz w:val="22"/>
                <w:szCs w:val="22"/>
                <w:lang w:val="en-US" w:eastAsia="zh-CN"/>
              </w:rPr>
              <w:t>套</w:t>
            </w:r>
          </w:p>
        </w:tc>
        <w:tc>
          <w:tcPr>
            <w:tcW w:w="2126" w:type="dxa"/>
            <w:vAlign w:val="center"/>
          </w:tcPr>
          <w:p>
            <w:pPr>
              <w:jc w:val="center"/>
              <w:rPr>
                <w:rFonts w:hint="default" w:ascii="Times New Roman" w:hAnsi="Times New Roman" w:eastAsia="宋体" w:cs="Times New Roman"/>
                <w:b/>
                <w:kern w:val="2"/>
                <w:sz w:val="22"/>
                <w:szCs w:val="22"/>
                <w:lang w:val="en-US" w:eastAsia="zh-CN" w:bidi="ar-SA"/>
              </w:rPr>
            </w:pPr>
            <w:r>
              <w:rPr>
                <w:rFonts w:hint="default" w:ascii="Times New Roman" w:hAnsi="Times New Roman" w:eastAsia="宋体" w:cs="Times New Roman"/>
                <w:b/>
                <w:sz w:val="22"/>
                <w:szCs w:val="22"/>
                <w:lang w:val="en-US" w:eastAsia="zh-CN"/>
              </w:rPr>
              <w:t>960.00</w:t>
            </w:r>
          </w:p>
        </w:tc>
      </w:tr>
    </w:tbl>
    <w:p>
      <w:pPr>
        <w:jc w:val="left"/>
        <w:rPr>
          <w:rFonts w:ascii="Times New Roman" w:hAnsi="Times New Roman"/>
          <w:szCs w:val="21"/>
        </w:rPr>
      </w:pPr>
    </w:p>
    <w:p>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11"/>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47" w:type="dxa"/>
            <w:vAlign w:val="center"/>
          </w:tcPr>
          <w:p>
            <w:pPr>
              <w:jc w:val="center"/>
              <w:rPr>
                <w:rFonts w:hint="default" w:ascii="Times New Roman" w:hAnsi="Times New Roman" w:eastAsia="宋体" w:cs="Times New Roman"/>
                <w:b/>
                <w:sz w:val="22"/>
                <w:szCs w:val="22"/>
              </w:rPr>
            </w:pPr>
            <w:r>
              <w:rPr>
                <w:rFonts w:hint="eastAsia" w:ascii="Times New Roman" w:hAnsi="Times New Roman" w:eastAsia="宋体" w:cs="Times New Roman"/>
                <w:b/>
                <w:sz w:val="22"/>
                <w:szCs w:val="22"/>
              </w:rPr>
              <w:t>序号</w:t>
            </w:r>
          </w:p>
        </w:tc>
        <w:tc>
          <w:tcPr>
            <w:tcW w:w="5107" w:type="dxa"/>
            <w:vAlign w:val="center"/>
          </w:tcPr>
          <w:p>
            <w:pPr>
              <w:jc w:val="center"/>
              <w:rPr>
                <w:rFonts w:hint="default" w:ascii="Times New Roman" w:hAnsi="Times New Roman" w:eastAsia="宋体" w:cs="Times New Roman"/>
                <w:b/>
                <w:sz w:val="22"/>
                <w:szCs w:val="22"/>
              </w:rPr>
            </w:pPr>
            <w:r>
              <w:rPr>
                <w:rFonts w:hint="eastAsia" w:ascii="Times New Roman" w:hAnsi="Times New Roman" w:eastAsia="宋体" w:cs="Times New Roman"/>
                <w:b/>
                <w:sz w:val="22"/>
                <w:szCs w:val="22"/>
              </w:rPr>
              <w:t>名称</w:t>
            </w:r>
          </w:p>
        </w:tc>
        <w:tc>
          <w:tcPr>
            <w:tcW w:w="1985" w:type="dxa"/>
            <w:vAlign w:val="center"/>
          </w:tcPr>
          <w:p>
            <w:pPr>
              <w:jc w:val="center"/>
              <w:rPr>
                <w:rFonts w:hint="default" w:ascii="Times New Roman" w:hAnsi="Times New Roman" w:eastAsia="宋体" w:cs="Times New Roman"/>
                <w:b/>
                <w:sz w:val="22"/>
                <w:szCs w:val="22"/>
              </w:rPr>
            </w:pPr>
            <w:r>
              <w:rPr>
                <w:rFonts w:hint="eastAsia" w:ascii="Times New Roman" w:hAnsi="Times New Roman" w:eastAsia="宋体" w:cs="Times New Roman"/>
                <w:b/>
                <w:sz w:val="22"/>
                <w:szCs w:val="22"/>
              </w:rPr>
              <w:t>单位</w:t>
            </w:r>
          </w:p>
        </w:tc>
        <w:tc>
          <w:tcPr>
            <w:tcW w:w="2126" w:type="dxa"/>
            <w:vAlign w:val="center"/>
          </w:tcPr>
          <w:p>
            <w:pPr>
              <w:jc w:val="center"/>
              <w:rPr>
                <w:rFonts w:hint="eastAsia" w:ascii="Times New Roman" w:hAnsi="Times New Roman" w:eastAsia="宋体" w:cs="Times New Roman"/>
                <w:b/>
                <w:sz w:val="22"/>
                <w:szCs w:val="22"/>
                <w:lang w:eastAsia="zh-CN"/>
              </w:rPr>
            </w:pPr>
            <w:r>
              <w:rPr>
                <w:rFonts w:hint="eastAsia" w:ascii="Times New Roman" w:hAnsi="Times New Roman" w:eastAsia="宋体" w:cs="Times New Roman"/>
                <w:b/>
                <w:sz w:val="22"/>
                <w:szCs w:val="22"/>
              </w:rPr>
              <w:t>预算单价</w:t>
            </w:r>
            <w:r>
              <w:rPr>
                <w:rFonts w:hint="eastAsia" w:ascii="Times New Roman" w:hAnsi="Times New Roman" w:eastAsia="宋体" w:cs="Times New Roman"/>
                <w:b/>
                <w:sz w:val="22"/>
                <w:szCs w:val="22"/>
                <w:lang w:eastAsia="zh-CN"/>
              </w:rPr>
              <w:t>（</w:t>
            </w:r>
            <w:r>
              <w:rPr>
                <w:rFonts w:hint="eastAsia" w:ascii="Times New Roman" w:hAnsi="Times New Roman" w:eastAsia="宋体" w:cs="Times New Roman"/>
                <w:b/>
                <w:sz w:val="22"/>
                <w:szCs w:val="22"/>
                <w:lang w:val="en-US" w:eastAsia="zh-CN"/>
              </w:rPr>
              <w:t>元</w:t>
            </w:r>
            <w:r>
              <w:rPr>
                <w:rFonts w:hint="eastAsia" w:ascii="Times New Roman" w:hAnsi="Times New Roman" w:eastAsia="宋体" w:cs="Times New Roman"/>
                <w:b/>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47" w:type="dxa"/>
            <w:vAlign w:val="center"/>
          </w:tcPr>
          <w:p>
            <w:pPr>
              <w:jc w:val="center"/>
              <w:rPr>
                <w:rFonts w:hint="default" w:ascii="Times New Roman" w:hAnsi="Times New Roman" w:eastAsia="宋体" w:cs="Times New Roman"/>
                <w:b/>
                <w:sz w:val="22"/>
                <w:szCs w:val="22"/>
              </w:rPr>
            </w:pPr>
            <w:bookmarkStart w:id="0" w:name="_GoBack" w:colFirst="1" w:colLast="3"/>
            <w:r>
              <w:rPr>
                <w:rFonts w:hint="eastAsia" w:ascii="Times New Roman" w:hAnsi="Times New Roman" w:eastAsia="宋体" w:cs="Times New Roman"/>
                <w:b/>
                <w:sz w:val="22"/>
                <w:szCs w:val="22"/>
              </w:rPr>
              <w:t>1</w:t>
            </w:r>
          </w:p>
        </w:tc>
        <w:tc>
          <w:tcPr>
            <w:tcW w:w="5107" w:type="dxa"/>
            <w:vAlign w:val="center"/>
          </w:tcPr>
          <w:p>
            <w:pPr>
              <w:jc w:val="center"/>
              <w:rPr>
                <w:rFonts w:hint="default" w:ascii="仿宋_GB2312" w:hAnsi="Times New Roman" w:eastAsia="仿宋_GB2312" w:cs="Times New Roman"/>
                <w:kern w:val="2"/>
                <w:sz w:val="24"/>
                <w:szCs w:val="21"/>
                <w:lang w:val="en-US" w:eastAsia="zh-CN" w:bidi="ar-SA"/>
              </w:rPr>
            </w:pPr>
            <w:r>
              <w:rPr>
                <w:rFonts w:hint="eastAsia" w:ascii="仿宋_GB2312" w:hAnsi="Times New Roman" w:eastAsia="仿宋_GB2312"/>
                <w:sz w:val="24"/>
                <w:szCs w:val="21"/>
                <w:lang w:val="en-US" w:eastAsia="zh-CN"/>
              </w:rPr>
              <w:t>/</w:t>
            </w:r>
          </w:p>
        </w:tc>
        <w:tc>
          <w:tcPr>
            <w:tcW w:w="1985" w:type="dxa"/>
            <w:vAlign w:val="center"/>
          </w:tcPr>
          <w:p>
            <w:pPr>
              <w:jc w:val="center"/>
              <w:rPr>
                <w:rFonts w:hint="default" w:ascii="仿宋_GB2312" w:hAnsi="Times New Roman" w:eastAsia="仿宋_GB2312" w:cs="Times New Roman"/>
                <w:kern w:val="2"/>
                <w:sz w:val="24"/>
                <w:szCs w:val="21"/>
                <w:lang w:val="en-US" w:eastAsia="zh-CN" w:bidi="ar-SA"/>
              </w:rPr>
            </w:pPr>
            <w:r>
              <w:rPr>
                <w:rFonts w:hint="eastAsia" w:ascii="仿宋_GB2312" w:hAnsi="Times New Roman" w:eastAsia="仿宋_GB2312"/>
                <w:sz w:val="24"/>
                <w:szCs w:val="21"/>
                <w:lang w:val="en-US" w:eastAsia="zh-CN"/>
              </w:rPr>
              <w:t>/</w:t>
            </w:r>
          </w:p>
        </w:tc>
        <w:tc>
          <w:tcPr>
            <w:tcW w:w="2126" w:type="dxa"/>
            <w:vAlign w:val="center"/>
          </w:tcPr>
          <w:p>
            <w:pPr>
              <w:jc w:val="center"/>
              <w:rPr>
                <w:rFonts w:hint="default" w:ascii="仿宋_GB2312" w:hAnsi="Times New Roman" w:eastAsia="仿宋_GB2312" w:cs="Times New Roman"/>
                <w:kern w:val="2"/>
                <w:sz w:val="24"/>
                <w:szCs w:val="21"/>
                <w:lang w:val="en-US" w:eastAsia="zh-CN" w:bidi="ar-SA"/>
              </w:rPr>
            </w:pPr>
            <w:r>
              <w:rPr>
                <w:rFonts w:hint="eastAsia" w:ascii="仿宋_GB2312" w:hAnsi="Times New Roman" w:eastAsia="仿宋_GB2312"/>
                <w:sz w:val="24"/>
                <w:szCs w:val="21"/>
                <w:lang w:val="en-US" w:eastAsia="zh-CN"/>
              </w:rPr>
              <w:t>/</w:t>
            </w:r>
          </w:p>
        </w:tc>
      </w:tr>
      <w:bookmarkEnd w:id="0"/>
    </w:tbl>
    <w:p>
      <w:pPr>
        <w:jc w:val="center"/>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JkMzgyNzdjMGVjMjg3YjM2Y2VmYzc5MTcyMzBjZTUifQ=="/>
  </w:docVars>
  <w:rsids>
    <w:rsidRoot w:val="00180716"/>
    <w:rsid w:val="00031B84"/>
    <w:rsid w:val="0007571F"/>
    <w:rsid w:val="00086401"/>
    <w:rsid w:val="000B3A24"/>
    <w:rsid w:val="000E0A0A"/>
    <w:rsid w:val="00100D1E"/>
    <w:rsid w:val="0012370B"/>
    <w:rsid w:val="00153A42"/>
    <w:rsid w:val="0015678E"/>
    <w:rsid w:val="00180716"/>
    <w:rsid w:val="0018661F"/>
    <w:rsid w:val="001B0A84"/>
    <w:rsid w:val="001D5E72"/>
    <w:rsid w:val="00206936"/>
    <w:rsid w:val="002617DE"/>
    <w:rsid w:val="002738F1"/>
    <w:rsid w:val="002C0BFD"/>
    <w:rsid w:val="002C6C45"/>
    <w:rsid w:val="002D02F7"/>
    <w:rsid w:val="002D59FE"/>
    <w:rsid w:val="00300CE1"/>
    <w:rsid w:val="003141BC"/>
    <w:rsid w:val="0031707A"/>
    <w:rsid w:val="00333E2E"/>
    <w:rsid w:val="003407BA"/>
    <w:rsid w:val="0036311E"/>
    <w:rsid w:val="003938A4"/>
    <w:rsid w:val="003B5D40"/>
    <w:rsid w:val="003D4CEF"/>
    <w:rsid w:val="003E15A0"/>
    <w:rsid w:val="00437E27"/>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5743E"/>
    <w:rsid w:val="00BE5B4B"/>
    <w:rsid w:val="00C046E8"/>
    <w:rsid w:val="00C70023"/>
    <w:rsid w:val="00C70D64"/>
    <w:rsid w:val="00C717A1"/>
    <w:rsid w:val="00CA1F88"/>
    <w:rsid w:val="00D1471E"/>
    <w:rsid w:val="00D14837"/>
    <w:rsid w:val="00D2285F"/>
    <w:rsid w:val="00D5527C"/>
    <w:rsid w:val="00D577BE"/>
    <w:rsid w:val="00D650DC"/>
    <w:rsid w:val="00D736F6"/>
    <w:rsid w:val="00D73D7E"/>
    <w:rsid w:val="00D90205"/>
    <w:rsid w:val="00DA2A6D"/>
    <w:rsid w:val="00DB3248"/>
    <w:rsid w:val="00E100C3"/>
    <w:rsid w:val="00E13D8B"/>
    <w:rsid w:val="00E43D98"/>
    <w:rsid w:val="00E84839"/>
    <w:rsid w:val="00E87DEE"/>
    <w:rsid w:val="00EA0AF4"/>
    <w:rsid w:val="00EA3933"/>
    <w:rsid w:val="00F128E8"/>
    <w:rsid w:val="00F176BB"/>
    <w:rsid w:val="00F3782E"/>
    <w:rsid w:val="00F40917"/>
    <w:rsid w:val="00F47DA3"/>
    <w:rsid w:val="00F749F5"/>
    <w:rsid w:val="00F84832"/>
    <w:rsid w:val="00FD02B5"/>
    <w:rsid w:val="00FD584F"/>
    <w:rsid w:val="16F91BE3"/>
    <w:rsid w:val="20527BD7"/>
    <w:rsid w:val="30631A36"/>
    <w:rsid w:val="33916057"/>
    <w:rsid w:val="35C12962"/>
    <w:rsid w:val="37A32376"/>
    <w:rsid w:val="3C8F37BA"/>
    <w:rsid w:val="491A2876"/>
    <w:rsid w:val="577B7B55"/>
    <w:rsid w:val="70BF23EB"/>
    <w:rsid w:val="7A251FBD"/>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autoRedefine/>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3">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16"/>
    <w:autoRedefine/>
    <w:unhideWhenUsed/>
    <w:qFormat/>
    <w:uiPriority w:val="99"/>
    <w:pPr>
      <w:jc w:val="left"/>
    </w:pPr>
  </w:style>
  <w:style w:type="paragraph" w:styleId="5">
    <w:name w:val="Body Text"/>
    <w:basedOn w:val="1"/>
    <w:next w:val="1"/>
    <w:autoRedefine/>
    <w:qFormat/>
    <w:uiPriority w:val="0"/>
    <w:pPr>
      <w:spacing w:after="120"/>
    </w:pPr>
  </w:style>
  <w:style w:type="paragraph" w:styleId="6">
    <w:name w:val="List 2"/>
    <w:basedOn w:val="1"/>
    <w:next w:val="7"/>
    <w:autoRedefine/>
    <w:qFormat/>
    <w:uiPriority w:val="0"/>
    <w:pPr>
      <w:adjustRightInd w:val="0"/>
      <w:spacing w:line="312" w:lineRule="atLeast"/>
      <w:ind w:left="100" w:leftChars="200" w:hanging="200" w:hangingChars="200"/>
      <w:textAlignment w:val="baseline"/>
    </w:pPr>
    <w:rPr>
      <w:rFonts w:ascii="Calibri" w:hAnsi="Calibri" w:eastAsia="仿宋"/>
      <w:kern w:val="0"/>
      <w:sz w:val="32"/>
      <w:szCs w:val="20"/>
    </w:rPr>
  </w:style>
  <w:style w:type="paragraph" w:styleId="7">
    <w:name w:val="Plain Text"/>
    <w:basedOn w:val="1"/>
    <w:autoRedefine/>
    <w:qFormat/>
    <w:uiPriority w:val="0"/>
    <w:rPr>
      <w:rFonts w:ascii="宋体" w:hAnsi="Courier New" w:cs="宋体"/>
      <w:szCs w:val="21"/>
    </w:rPr>
  </w:style>
  <w:style w:type="paragraph" w:styleId="8">
    <w:name w:val="Balloon Text"/>
    <w:basedOn w:val="1"/>
    <w:link w:val="17"/>
    <w:autoRedefine/>
    <w:unhideWhenUsed/>
    <w:qFormat/>
    <w:uiPriority w:val="99"/>
    <w:rPr>
      <w:sz w:val="18"/>
      <w:szCs w:val="18"/>
    </w:rPr>
  </w:style>
  <w:style w:type="paragraph" w:styleId="9">
    <w:name w:val="footer"/>
    <w:basedOn w:val="1"/>
    <w:link w:val="18"/>
    <w:autoRedefine/>
    <w:unhideWhenUsed/>
    <w:qFormat/>
    <w:uiPriority w:val="99"/>
    <w:pPr>
      <w:tabs>
        <w:tab w:val="center" w:pos="4153"/>
        <w:tab w:val="right" w:pos="8306"/>
      </w:tabs>
      <w:snapToGrid w:val="0"/>
      <w:jc w:val="left"/>
    </w:pPr>
    <w:rPr>
      <w:kern w:val="0"/>
      <w:sz w:val="18"/>
      <w:szCs w:val="18"/>
    </w:rPr>
  </w:style>
  <w:style w:type="paragraph" w:styleId="10">
    <w:name w:val="header"/>
    <w:basedOn w:val="1"/>
    <w:link w:val="19"/>
    <w:autoRedefine/>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12">
    <w:name w:val="Table Grid"/>
    <w:basedOn w:val="11"/>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autoRedefine/>
    <w:unhideWhenUsed/>
    <w:qFormat/>
    <w:uiPriority w:val="99"/>
    <w:rPr>
      <w:sz w:val="21"/>
      <w:szCs w:val="21"/>
    </w:rPr>
  </w:style>
  <w:style w:type="character" w:customStyle="1" w:styleId="15">
    <w:name w:val="标题 1 字符"/>
    <w:link w:val="2"/>
    <w:autoRedefine/>
    <w:qFormat/>
    <w:uiPriority w:val="9"/>
    <w:rPr>
      <w:b/>
      <w:bCs/>
      <w:kern w:val="44"/>
      <w:sz w:val="44"/>
      <w:szCs w:val="44"/>
    </w:rPr>
  </w:style>
  <w:style w:type="character" w:customStyle="1" w:styleId="16">
    <w:name w:val="批注文字 字符"/>
    <w:link w:val="4"/>
    <w:autoRedefine/>
    <w:semiHidden/>
    <w:qFormat/>
    <w:uiPriority w:val="99"/>
    <w:rPr>
      <w:kern w:val="2"/>
      <w:sz w:val="21"/>
      <w:szCs w:val="22"/>
    </w:rPr>
  </w:style>
  <w:style w:type="character" w:customStyle="1" w:styleId="17">
    <w:name w:val="批注框文本 字符"/>
    <w:link w:val="8"/>
    <w:autoRedefine/>
    <w:semiHidden/>
    <w:qFormat/>
    <w:uiPriority w:val="99"/>
    <w:rPr>
      <w:kern w:val="2"/>
      <w:sz w:val="18"/>
      <w:szCs w:val="18"/>
    </w:rPr>
  </w:style>
  <w:style w:type="character" w:customStyle="1" w:styleId="18">
    <w:name w:val="页脚 字符"/>
    <w:link w:val="9"/>
    <w:autoRedefine/>
    <w:qFormat/>
    <w:uiPriority w:val="99"/>
    <w:rPr>
      <w:sz w:val="18"/>
      <w:szCs w:val="18"/>
    </w:rPr>
  </w:style>
  <w:style w:type="character" w:customStyle="1" w:styleId="19">
    <w:name w:val="页眉 字符"/>
    <w:link w:val="10"/>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6</Pages>
  <Words>218</Words>
  <Characters>1249</Characters>
  <Lines>10</Lines>
  <Paragraphs>2</Paragraphs>
  <TotalTime>0</TotalTime>
  <ScaleCrop>false</ScaleCrop>
  <LinksUpToDate>false</LinksUpToDate>
  <CharactersWithSpaces>1465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2023-11-02T03:07:00Z</dcterms:created>
  <dc:creator>Sky123.Org</dc:creator>
  <cp:lastModifiedBy> </cp:lastModifiedBy>
  <cp:lastPrinted>2020-06-15T03:32:00Z</cp:lastPrinted>
  <dcterms:modified xsi:type="dcterms:W3CDTF">2024-04-11T07:56:29Z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C6393E1EE0E04CA98683DCF2E719AA26_13</vt:lpwstr>
  </property>
</Properties>
</file>